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BA97" w14:textId="0CB859B1" w:rsidR="003B04E4" w:rsidRPr="001D1EC2" w:rsidRDefault="00222AEF">
      <w:pPr>
        <w:rPr>
          <w:sz w:val="32"/>
          <w:szCs w:val="32"/>
        </w:rPr>
      </w:pPr>
      <w:r w:rsidRPr="001D1EC2">
        <w:rPr>
          <w:sz w:val="32"/>
          <w:szCs w:val="32"/>
        </w:rPr>
        <w:t>Steps to getting a bank account</w:t>
      </w:r>
    </w:p>
    <w:p w14:paraId="4B1C19E4" w14:textId="77777777" w:rsidR="00222AEF" w:rsidRDefault="00222AEF"/>
    <w:p w14:paraId="4BC2922C" w14:textId="16E280C1" w:rsidR="001D1EC2" w:rsidRDefault="001D1EC2" w:rsidP="00837947">
      <w:pPr>
        <w:pStyle w:val="ListParagraph"/>
        <w:numPr>
          <w:ilvl w:val="0"/>
          <w:numId w:val="1"/>
        </w:numPr>
      </w:pPr>
      <w:r>
        <w:t>Decide on what you need a bank account for and learn about money management</w:t>
      </w:r>
      <w:r w:rsidR="00837947">
        <w:t>.</w:t>
      </w:r>
    </w:p>
    <w:p w14:paraId="0371A9A3" w14:textId="5B408955" w:rsidR="001D1EC2" w:rsidRDefault="001D1EC2" w:rsidP="001D1EC2">
      <w:pPr>
        <w:pStyle w:val="ListParagraph"/>
        <w:numPr>
          <w:ilvl w:val="0"/>
          <w:numId w:val="1"/>
        </w:numPr>
      </w:pPr>
      <w:r>
        <w:t xml:space="preserve">Make sure you have a </w:t>
      </w:r>
      <w:r w:rsidR="00D43A10">
        <w:t xml:space="preserve">picture State </w:t>
      </w:r>
      <w:r>
        <w:t>ID or Driver’s License</w:t>
      </w:r>
      <w:r w:rsidR="00837947">
        <w:t xml:space="preserve"> and a</w:t>
      </w:r>
      <w:r w:rsidR="00837947">
        <w:t>n initial investment to open the account (at minimum $25).</w:t>
      </w:r>
    </w:p>
    <w:p w14:paraId="640BA203" w14:textId="3098E099" w:rsidR="001D1EC2" w:rsidRDefault="001D1EC2" w:rsidP="001D1EC2">
      <w:pPr>
        <w:pStyle w:val="ListParagraph"/>
        <w:numPr>
          <w:ilvl w:val="0"/>
          <w:numId w:val="1"/>
        </w:numPr>
      </w:pPr>
      <w:r>
        <w:t>Let your Independent Living worker know that you want to get a bank account for yourself</w:t>
      </w:r>
      <w:r w:rsidR="00837947">
        <w:t>.</w:t>
      </w:r>
    </w:p>
    <w:p w14:paraId="2FC04E64" w14:textId="55E164EF" w:rsidR="001D1EC2" w:rsidRDefault="001D1EC2" w:rsidP="001D1EC2">
      <w:pPr>
        <w:pStyle w:val="ListParagraph"/>
        <w:numPr>
          <w:ilvl w:val="1"/>
          <w:numId w:val="1"/>
        </w:numPr>
      </w:pPr>
      <w:r>
        <w:t xml:space="preserve">Your IL </w:t>
      </w:r>
      <w:proofErr w:type="gramStart"/>
      <w:r>
        <w:t>worker</w:t>
      </w:r>
      <w:proofErr w:type="gramEnd"/>
      <w:r>
        <w:t xml:space="preserve"> with then make sure you have a few other documents that will help open the account such as a Social Security Card, Proof of Address, and Proof of Foster Status</w:t>
      </w:r>
      <w:r w:rsidR="00837947">
        <w:t>.</w:t>
      </w:r>
    </w:p>
    <w:p w14:paraId="1060FEF5" w14:textId="5670A40F" w:rsidR="001D1EC2" w:rsidRDefault="001D1EC2" w:rsidP="001D1EC2">
      <w:pPr>
        <w:pStyle w:val="ListParagraph"/>
        <w:numPr>
          <w:ilvl w:val="1"/>
          <w:numId w:val="1"/>
        </w:numPr>
      </w:pPr>
      <w:r>
        <w:t>The IL worker will contact the Department of Children and Families to get a Letter Verifying Custody. This tells the bank that you do not need a cosigner. This is because of K.S.A.</w:t>
      </w:r>
      <w:r w:rsidRPr="001D1EC2">
        <w:t xml:space="preserve"> 9-1204</w:t>
      </w:r>
      <w:r>
        <w:t>.</w:t>
      </w:r>
    </w:p>
    <w:p w14:paraId="147217A8" w14:textId="26AF57F9" w:rsidR="001D1EC2" w:rsidRDefault="001D1EC2" w:rsidP="001D1EC2">
      <w:pPr>
        <w:pStyle w:val="ListParagraph"/>
        <w:numPr>
          <w:ilvl w:val="1"/>
          <w:numId w:val="1"/>
        </w:numPr>
      </w:pPr>
      <w:r>
        <w:t xml:space="preserve">Your IL worker will then gather the documents and </w:t>
      </w:r>
      <w:r w:rsidR="00D43A10">
        <w:t xml:space="preserve">give them to you, your placement, or the bank. </w:t>
      </w:r>
    </w:p>
    <w:p w14:paraId="3204919C" w14:textId="590787AC" w:rsidR="00D43A10" w:rsidRDefault="00D43A10" w:rsidP="00D43A10">
      <w:pPr>
        <w:pStyle w:val="ListParagraph"/>
        <w:numPr>
          <w:ilvl w:val="0"/>
          <w:numId w:val="1"/>
        </w:numPr>
      </w:pPr>
      <w:r>
        <w:t>Go to the bank and open the account!</w:t>
      </w:r>
    </w:p>
    <w:p w14:paraId="2FAEA2F5" w14:textId="3C9C7B36" w:rsidR="00837947" w:rsidRDefault="00837947" w:rsidP="00837947">
      <w:pPr>
        <w:pStyle w:val="ListParagraph"/>
        <w:numPr>
          <w:ilvl w:val="1"/>
          <w:numId w:val="1"/>
        </w:numPr>
      </w:pPr>
      <w:r>
        <w:t xml:space="preserve">Make certain to bring </w:t>
      </w:r>
      <w:proofErr w:type="gramStart"/>
      <w:r>
        <w:t>all of</w:t>
      </w:r>
      <w:proofErr w:type="gramEnd"/>
      <w:r>
        <w:t xml:space="preserve"> the required documents. </w:t>
      </w:r>
      <w:proofErr w:type="gramStart"/>
      <w:r>
        <w:t>A picture</w:t>
      </w:r>
      <w:proofErr w:type="gramEnd"/>
      <w:r>
        <w:t xml:space="preserve"> doesn’t count!</w:t>
      </w:r>
    </w:p>
    <w:p w14:paraId="6685F202" w14:textId="328141DB" w:rsidR="00D43A10" w:rsidRDefault="00D43A10" w:rsidP="00D43A10">
      <w:pPr>
        <w:pStyle w:val="ListParagraph"/>
        <w:numPr>
          <w:ilvl w:val="1"/>
          <w:numId w:val="1"/>
        </w:numPr>
      </w:pPr>
      <w:r>
        <w:t>Ask to open an account at the front desk.</w:t>
      </w:r>
    </w:p>
    <w:p w14:paraId="539CF919" w14:textId="2FCEB603" w:rsidR="00D43A10" w:rsidRDefault="00D43A10" w:rsidP="00D43A10">
      <w:pPr>
        <w:pStyle w:val="ListParagraph"/>
        <w:numPr>
          <w:ilvl w:val="2"/>
          <w:numId w:val="1"/>
        </w:numPr>
      </w:pPr>
      <w:r>
        <w:t xml:space="preserve">They will </w:t>
      </w:r>
      <w:proofErr w:type="gramStart"/>
      <w:r>
        <w:t>bring</w:t>
      </w:r>
      <w:proofErr w:type="gramEnd"/>
      <w:r>
        <w:t xml:space="preserve"> you into an office and ask you for your documents.</w:t>
      </w:r>
    </w:p>
    <w:p w14:paraId="566E2FD9" w14:textId="0C438714" w:rsidR="00D43A10" w:rsidRDefault="00D43A10" w:rsidP="00D43A10">
      <w:pPr>
        <w:pStyle w:val="ListParagraph"/>
        <w:numPr>
          <w:ilvl w:val="2"/>
          <w:numId w:val="1"/>
        </w:numPr>
      </w:pPr>
      <w:r>
        <w:t>They will ask you questions about your banking history and what account you want to open.</w:t>
      </w:r>
    </w:p>
    <w:p w14:paraId="18082A18" w14:textId="668CAD50" w:rsidR="00D43A10" w:rsidRDefault="00D43A10" w:rsidP="00D43A10">
      <w:pPr>
        <w:pStyle w:val="ListParagraph"/>
        <w:numPr>
          <w:ilvl w:val="2"/>
          <w:numId w:val="1"/>
        </w:numPr>
      </w:pPr>
      <w:r>
        <w:t>They will give you an application to fill out. If you have any questions, feel free to ask for help. They are there to assist you!</w:t>
      </w:r>
    </w:p>
    <w:p w14:paraId="197E9C0E" w14:textId="32A6EBD0" w:rsidR="00D43A10" w:rsidRDefault="00D43A10" w:rsidP="00D43A10">
      <w:pPr>
        <w:pStyle w:val="ListParagraph"/>
        <w:numPr>
          <w:ilvl w:val="2"/>
          <w:numId w:val="1"/>
        </w:numPr>
      </w:pPr>
      <w:r>
        <w:t>Then, you can set up online banking, a username and password, and a debit card. The bank will walk you through the process step by step.</w:t>
      </w:r>
    </w:p>
    <w:p w14:paraId="2E206A62" w14:textId="42EA039C" w:rsidR="00D43A10" w:rsidRDefault="00D43A10" w:rsidP="00D43A10">
      <w:pPr>
        <w:pStyle w:val="ListParagraph"/>
        <w:numPr>
          <w:ilvl w:val="1"/>
          <w:numId w:val="1"/>
        </w:numPr>
      </w:pPr>
      <w:r>
        <w:t>Finalize the account and make sure to write down</w:t>
      </w:r>
      <w:r w:rsidR="00837947">
        <w:t>:</w:t>
      </w:r>
    </w:p>
    <w:p w14:paraId="33E82AE4" w14:textId="6B63AD3E" w:rsidR="00D43A10" w:rsidRDefault="00D43A10" w:rsidP="00D43A10">
      <w:pPr>
        <w:pStyle w:val="ListParagraph"/>
        <w:numPr>
          <w:ilvl w:val="2"/>
          <w:numId w:val="1"/>
        </w:numPr>
      </w:pPr>
      <w:r>
        <w:t xml:space="preserve">your account information </w:t>
      </w:r>
      <w:proofErr w:type="gramStart"/>
      <w:r>
        <w:t>including</w:t>
      </w:r>
      <w:proofErr w:type="gramEnd"/>
      <w:r>
        <w:t xml:space="preserve"> username and password to your online banking and the pin number to your debit card. Keep that information very safe and never give it out!</w:t>
      </w:r>
    </w:p>
    <w:p w14:paraId="2537D78F" w14:textId="69FA072D" w:rsidR="00D43A10" w:rsidRDefault="00D43A10" w:rsidP="00D43A10">
      <w:pPr>
        <w:pStyle w:val="ListParagraph"/>
        <w:numPr>
          <w:ilvl w:val="2"/>
          <w:numId w:val="1"/>
        </w:numPr>
      </w:pPr>
      <w:r>
        <w:t>the name and location of the bank.</w:t>
      </w:r>
    </w:p>
    <w:p w14:paraId="644FFFA7" w14:textId="768F37CB" w:rsidR="00D43A10" w:rsidRDefault="00D43A10" w:rsidP="00D43A10">
      <w:pPr>
        <w:pStyle w:val="ListParagraph"/>
        <w:numPr>
          <w:ilvl w:val="2"/>
          <w:numId w:val="1"/>
        </w:numPr>
      </w:pPr>
      <w:r>
        <w:t>the contact information of the person who helped you.</w:t>
      </w:r>
    </w:p>
    <w:p w14:paraId="784ACC8F" w14:textId="5A7E8C95" w:rsidR="00D43A10" w:rsidRDefault="00D43A10" w:rsidP="00D43A10">
      <w:pPr>
        <w:pStyle w:val="ListParagraph"/>
        <w:numPr>
          <w:ilvl w:val="0"/>
          <w:numId w:val="1"/>
        </w:numPr>
      </w:pPr>
      <w:r>
        <w:t>Enjoy the financial freedom of a bank account!</w:t>
      </w:r>
      <w:r w:rsidR="000C4758">
        <w:t xml:space="preserve"> Remember:</w:t>
      </w:r>
    </w:p>
    <w:p w14:paraId="67DDFC25" w14:textId="14FDD0DF" w:rsidR="00837947" w:rsidRDefault="000C4758" w:rsidP="00837947">
      <w:pPr>
        <w:pStyle w:val="ListParagraph"/>
        <w:numPr>
          <w:ilvl w:val="1"/>
          <w:numId w:val="1"/>
        </w:numPr>
      </w:pPr>
      <w:r>
        <w:t>Pay</w:t>
      </w:r>
      <w:r w:rsidR="00837947">
        <w:t xml:space="preserve"> yourself first!</w:t>
      </w:r>
    </w:p>
    <w:p w14:paraId="4748BC9F" w14:textId="46F61CA6" w:rsidR="00837947" w:rsidRDefault="000C4758" w:rsidP="00837947">
      <w:pPr>
        <w:pStyle w:val="ListParagraph"/>
        <w:numPr>
          <w:ilvl w:val="1"/>
          <w:numId w:val="1"/>
        </w:numPr>
      </w:pPr>
      <w:r>
        <w:t>Don’t spend more than you have!</w:t>
      </w:r>
    </w:p>
    <w:p w14:paraId="52D6F3A5" w14:textId="2B7EB24E" w:rsidR="00837947" w:rsidRDefault="00837947" w:rsidP="00837947">
      <w:pPr>
        <w:pStyle w:val="ListParagraph"/>
        <w:numPr>
          <w:ilvl w:val="1"/>
          <w:numId w:val="1"/>
        </w:numPr>
      </w:pPr>
      <w:r>
        <w:t>Set up overdraft protection!</w:t>
      </w:r>
    </w:p>
    <w:p w14:paraId="56C31F73" w14:textId="368B23D7" w:rsidR="00837947" w:rsidRDefault="00837947" w:rsidP="00837947">
      <w:pPr>
        <w:pStyle w:val="ListParagraph"/>
        <w:numPr>
          <w:ilvl w:val="1"/>
          <w:numId w:val="1"/>
        </w:numPr>
      </w:pPr>
      <w:r>
        <w:t>Check your accounts regularly!</w:t>
      </w:r>
    </w:p>
    <w:p w14:paraId="2F619AE0" w14:textId="210C20D0" w:rsidR="00222AEF" w:rsidRDefault="00222AEF" w:rsidP="00222AEF">
      <w:r>
        <w:br w:type="page"/>
      </w:r>
      <w:hyperlink r:id="rId7" w:history="1">
        <w:r w:rsidRPr="00ED791B">
          <w:rPr>
            <w:rStyle w:val="Hyperlink"/>
          </w:rPr>
          <w:t>https://ksrevisor.org/statutes/chapters/ch09/009_012_0004.html</w:t>
        </w:r>
      </w:hyperlink>
      <w:r>
        <w:br/>
      </w:r>
      <w:r>
        <w:br/>
      </w:r>
      <w:r w:rsidRPr="00222AEF">
        <w:rPr>
          <w:b/>
          <w:bCs/>
          <w:sz w:val="32"/>
          <w:szCs w:val="32"/>
        </w:rPr>
        <w:t>K</w:t>
      </w:r>
      <w:r>
        <w:rPr>
          <w:b/>
          <w:bCs/>
          <w:sz w:val="32"/>
          <w:szCs w:val="32"/>
        </w:rPr>
        <w:t>.</w:t>
      </w:r>
      <w:r w:rsidRPr="00222AEF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>.</w:t>
      </w:r>
      <w:r w:rsidRPr="00222AEF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>.</w:t>
      </w:r>
      <w:r w:rsidRPr="00222AEF">
        <w:rPr>
          <w:b/>
          <w:bCs/>
          <w:sz w:val="32"/>
          <w:szCs w:val="32"/>
        </w:rPr>
        <w:t xml:space="preserve"> </w:t>
      </w:r>
      <w:r w:rsidRPr="00222AEF">
        <w:rPr>
          <w:b/>
          <w:bCs/>
          <w:sz w:val="32"/>
          <w:szCs w:val="32"/>
        </w:rPr>
        <w:t>9-1204</w:t>
      </w:r>
    </w:p>
    <w:p w14:paraId="1D758A4F" w14:textId="7E413125" w:rsidR="00222AEF" w:rsidRDefault="00222AEF" w:rsidP="00222AEF">
      <w:pPr>
        <w:spacing w:line="240" w:lineRule="auto"/>
      </w:pPr>
      <w:r>
        <w:t xml:space="preserve">Methods to withdraw deposits; deposits of minors; safe deposit box lease. (a) Any person, regardless of age, may become a depositor in any bank and shall be subject to the same duties and liabilities respecting such </w:t>
      </w:r>
      <w:proofErr w:type="gramStart"/>
      <w:r>
        <w:t>person's</w:t>
      </w:r>
      <w:proofErr w:type="gramEnd"/>
      <w:r>
        <w:t xml:space="preserve"> deposits. Whenever a deposit is accepted by any bank in the name of any person, regardless of age, the deposit may be withdrawn by the depositor by any of the following methods:</w:t>
      </w:r>
    </w:p>
    <w:p w14:paraId="791792B3" w14:textId="5801CB7B" w:rsidR="00222AEF" w:rsidRDefault="00222AEF" w:rsidP="00222AEF">
      <w:pPr>
        <w:spacing w:line="240" w:lineRule="auto"/>
      </w:pPr>
      <w:r>
        <w:t xml:space="preserve">(1) Check or other </w:t>
      </w:r>
      <w:proofErr w:type="gramStart"/>
      <w:r>
        <w:t>instrument</w:t>
      </w:r>
      <w:proofErr w:type="gramEnd"/>
      <w:r>
        <w:t xml:space="preserve"> in writing. The check or other instrument in writing constitutes a receipt or acquittance if the check or other instrument in writing is signed by the depositor and constitutes a valid release and discharge to the bank for all payments made; or</w:t>
      </w:r>
    </w:p>
    <w:p w14:paraId="498159BC" w14:textId="04D0C427" w:rsidR="00222AEF" w:rsidRDefault="00222AEF" w:rsidP="00222AEF">
      <w:pPr>
        <w:spacing w:line="240" w:lineRule="auto"/>
      </w:pPr>
      <w:r>
        <w:t>(2) electronic means through:</w:t>
      </w:r>
    </w:p>
    <w:p w14:paraId="2E0129CA" w14:textId="12F2B9DB" w:rsidR="00222AEF" w:rsidRDefault="00222AEF" w:rsidP="00222AEF">
      <w:pPr>
        <w:spacing w:line="240" w:lineRule="auto"/>
        <w:ind w:left="720"/>
      </w:pPr>
      <w:r>
        <w:t xml:space="preserve">(A) Preauthorized direct </w:t>
      </w:r>
      <w:proofErr w:type="gramStart"/>
      <w:r>
        <w:t>withdrawal;</w:t>
      </w:r>
      <w:proofErr w:type="gramEnd"/>
    </w:p>
    <w:p w14:paraId="71CFC425" w14:textId="10FE9DA7" w:rsidR="00222AEF" w:rsidRDefault="00222AEF" w:rsidP="00222AEF">
      <w:pPr>
        <w:spacing w:line="240" w:lineRule="auto"/>
        <w:ind w:left="720"/>
      </w:pPr>
      <w:r>
        <w:t xml:space="preserve">(B) an automatic teller </w:t>
      </w:r>
      <w:proofErr w:type="gramStart"/>
      <w:r>
        <w:t>machine;</w:t>
      </w:r>
      <w:proofErr w:type="gramEnd"/>
    </w:p>
    <w:p w14:paraId="2DC06A09" w14:textId="3CE3FA1A" w:rsidR="00222AEF" w:rsidRDefault="00222AEF" w:rsidP="00222AEF">
      <w:pPr>
        <w:spacing w:line="240" w:lineRule="auto"/>
        <w:ind w:left="720"/>
      </w:pPr>
      <w:r>
        <w:t xml:space="preserve">(C) a debit </w:t>
      </w:r>
      <w:proofErr w:type="gramStart"/>
      <w:r>
        <w:t>card;</w:t>
      </w:r>
      <w:proofErr w:type="gramEnd"/>
    </w:p>
    <w:p w14:paraId="171E9304" w14:textId="508296E7" w:rsidR="00222AEF" w:rsidRDefault="00222AEF" w:rsidP="00222AEF">
      <w:pPr>
        <w:spacing w:line="240" w:lineRule="auto"/>
        <w:ind w:left="720"/>
      </w:pPr>
      <w:r>
        <w:t xml:space="preserve">(D) a transfer by </w:t>
      </w:r>
      <w:proofErr w:type="gramStart"/>
      <w:r>
        <w:t>telephone;</w:t>
      </w:r>
      <w:proofErr w:type="gramEnd"/>
    </w:p>
    <w:p w14:paraId="50C6CCC2" w14:textId="7626FB46" w:rsidR="00222AEF" w:rsidRDefault="00222AEF" w:rsidP="00222AEF">
      <w:pPr>
        <w:spacing w:line="240" w:lineRule="auto"/>
        <w:ind w:left="720"/>
      </w:pPr>
      <w:r>
        <w:t>(E) a network, including the internet; or</w:t>
      </w:r>
    </w:p>
    <w:p w14:paraId="1960E254" w14:textId="57E81A2E" w:rsidR="00222AEF" w:rsidRDefault="00222AEF" w:rsidP="00222AEF">
      <w:pPr>
        <w:spacing w:line="240" w:lineRule="auto"/>
        <w:ind w:left="720"/>
      </w:pPr>
      <w:r>
        <w:t>(F) any electronic terminal, computer, magnetic tape or other electronic means.</w:t>
      </w:r>
    </w:p>
    <w:p w14:paraId="4A796706" w14:textId="727E6649" w:rsidR="00222AEF" w:rsidRPr="00222AEF" w:rsidRDefault="00222AEF" w:rsidP="00222AEF">
      <w:pPr>
        <w:spacing w:line="240" w:lineRule="auto"/>
        <w:rPr>
          <w:b/>
          <w:bCs/>
        </w:rPr>
      </w:pPr>
      <w:r w:rsidRPr="00222AEF">
        <w:rPr>
          <w:b/>
          <w:bCs/>
        </w:rPr>
        <w:t xml:space="preserve">(b) Any bank that accepts deposits from minors 16 years of age or older in the custody of the secretary for children and families, a federally recognized Indian tribe in this state or the secretary of corrections shall not require a cosigner or the funds to be deposited with the consent of the custodian. Such </w:t>
      </w:r>
      <w:proofErr w:type="gramStart"/>
      <w:r w:rsidRPr="00222AEF">
        <w:rPr>
          <w:b/>
          <w:bCs/>
        </w:rPr>
        <w:t>minor</w:t>
      </w:r>
      <w:proofErr w:type="gramEnd"/>
      <w:r w:rsidRPr="00222AEF">
        <w:rPr>
          <w:b/>
          <w:bCs/>
        </w:rPr>
        <w:t xml:space="preserve"> shall be responsible for banking costs or penalties associated with such deposits. The secretary, or their </w:t>
      </w:r>
      <w:proofErr w:type="gramStart"/>
      <w:r w:rsidRPr="00222AEF">
        <w:rPr>
          <w:b/>
          <w:bCs/>
        </w:rPr>
        <w:t>designee</w:t>
      </w:r>
      <w:proofErr w:type="gramEnd"/>
      <w:r w:rsidRPr="00222AEF">
        <w:rPr>
          <w:b/>
          <w:bCs/>
        </w:rPr>
        <w:t>, or any foster or biological parent shall not be responsible for banking costs or penalties associated with such deposits.</w:t>
      </w:r>
    </w:p>
    <w:p w14:paraId="6FEB8DD4" w14:textId="174FFBDF" w:rsidR="00222AEF" w:rsidRDefault="00222AEF" w:rsidP="00222AEF">
      <w:pPr>
        <w:spacing w:line="240" w:lineRule="auto"/>
      </w:pPr>
      <w:r>
        <w:t>(c) Any person, regardless of age, individually or with others may enter into an agreement with a bank for the lease of a safe deposit box and shall be bound by the terms of such agreement.</w:t>
      </w:r>
    </w:p>
    <w:p w14:paraId="1506F11E" w14:textId="5290C7DB" w:rsidR="00222AEF" w:rsidRDefault="00222AEF" w:rsidP="00222AEF">
      <w:pPr>
        <w:spacing w:line="240" w:lineRule="auto"/>
      </w:pPr>
      <w:r>
        <w:t>(d) This section shall not be construed to affect the rights, liabilities or responsibilities of participants in an electronic fund transfer under the federal electronic fund transfer act, 15 U.S.C. § 1693 et seq., as in effect on July 1, 2024, and shall not affect the legal relationship between a minor and any person other than the bank.</w:t>
      </w:r>
    </w:p>
    <w:p w14:paraId="705FE973" w14:textId="031187BB" w:rsidR="00222AEF" w:rsidRDefault="00222AEF" w:rsidP="00222AEF">
      <w:pPr>
        <w:spacing w:line="240" w:lineRule="auto"/>
      </w:pPr>
      <w:r>
        <w:t xml:space="preserve">History: L. 1947, </w:t>
      </w:r>
      <w:proofErr w:type="spellStart"/>
      <w:r>
        <w:t>ch.</w:t>
      </w:r>
      <w:proofErr w:type="spellEnd"/>
      <w:r>
        <w:t xml:space="preserve"> 102, § 53; L. 2015, </w:t>
      </w:r>
      <w:proofErr w:type="spellStart"/>
      <w:r>
        <w:t>ch.</w:t>
      </w:r>
      <w:proofErr w:type="spellEnd"/>
      <w:r>
        <w:t xml:space="preserve"> 38, § 69; L. 2024, </w:t>
      </w:r>
      <w:proofErr w:type="spellStart"/>
      <w:r>
        <w:t>ch.</w:t>
      </w:r>
      <w:proofErr w:type="spellEnd"/>
      <w:r>
        <w:t xml:space="preserve"> 64, § 61; July 1.</w:t>
      </w:r>
    </w:p>
    <w:p w14:paraId="01BE1809" w14:textId="69539ECE" w:rsidR="00222AEF" w:rsidRDefault="00222AEF" w:rsidP="00222AEF">
      <w:pPr>
        <w:spacing w:line="240" w:lineRule="auto"/>
      </w:pPr>
      <w:r>
        <w:t>Source or prior law:</w:t>
      </w:r>
      <w:r>
        <w:t xml:space="preserve"> </w:t>
      </w:r>
      <w:r>
        <w:t>9-168</w:t>
      </w:r>
    </w:p>
    <w:sectPr w:rsidR="00222AE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7699" w14:textId="77777777" w:rsidR="001D1EC2" w:rsidRDefault="001D1EC2" w:rsidP="001D1EC2">
      <w:pPr>
        <w:spacing w:after="0" w:line="240" w:lineRule="auto"/>
      </w:pPr>
      <w:r>
        <w:separator/>
      </w:r>
    </w:p>
  </w:endnote>
  <w:endnote w:type="continuationSeparator" w:id="0">
    <w:p w14:paraId="76790252" w14:textId="77777777" w:rsidR="001D1EC2" w:rsidRDefault="001D1EC2" w:rsidP="001D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9EBE" w14:textId="77777777" w:rsidR="001D1EC2" w:rsidRDefault="001D1EC2" w:rsidP="001D1EC2">
      <w:pPr>
        <w:spacing w:after="0" w:line="240" w:lineRule="auto"/>
      </w:pPr>
      <w:r>
        <w:separator/>
      </w:r>
    </w:p>
  </w:footnote>
  <w:footnote w:type="continuationSeparator" w:id="0">
    <w:p w14:paraId="340348EA" w14:textId="77777777" w:rsidR="001D1EC2" w:rsidRDefault="001D1EC2" w:rsidP="001D1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C34C" w14:textId="5AF1F44E" w:rsidR="001D1EC2" w:rsidRDefault="001D1EC2" w:rsidP="001D1EC2">
    <w:pPr>
      <w:pStyle w:val="Header"/>
      <w:jc w:val="right"/>
    </w:pPr>
    <w:r>
      <w:t>Get and Maintain a Bank Account - 2/17/2025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79D9"/>
    <w:multiLevelType w:val="hybridMultilevel"/>
    <w:tmpl w:val="B7E2F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44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EF"/>
    <w:rsid w:val="000C4187"/>
    <w:rsid w:val="000C4758"/>
    <w:rsid w:val="001C3C5F"/>
    <w:rsid w:val="001D1EC2"/>
    <w:rsid w:val="00222AEF"/>
    <w:rsid w:val="002B5AF4"/>
    <w:rsid w:val="003B04E4"/>
    <w:rsid w:val="00837947"/>
    <w:rsid w:val="00945A78"/>
    <w:rsid w:val="00D43A10"/>
    <w:rsid w:val="00E1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78E65"/>
  <w15:chartTrackingRefBased/>
  <w15:docId w15:val="{B7559873-A271-471E-B6A8-64F22D5C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A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1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EC2"/>
  </w:style>
  <w:style w:type="paragraph" w:styleId="Footer">
    <w:name w:val="footer"/>
    <w:basedOn w:val="Normal"/>
    <w:link w:val="FooterChar"/>
    <w:uiPriority w:val="99"/>
    <w:unhideWhenUsed/>
    <w:rsid w:val="001D1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srevisor.org/statutes/chapters/ch09/009_012_000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Chaverin</dc:creator>
  <cp:keywords/>
  <dc:description/>
  <cp:lastModifiedBy>Samuel Chaverin</cp:lastModifiedBy>
  <cp:revision>4</cp:revision>
  <cp:lastPrinted>2025-02-17T19:47:00Z</cp:lastPrinted>
  <dcterms:created xsi:type="dcterms:W3CDTF">2025-02-17T17:10:00Z</dcterms:created>
  <dcterms:modified xsi:type="dcterms:W3CDTF">2025-02-17T20:25:00Z</dcterms:modified>
</cp:coreProperties>
</file>